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Decreto legge 14 giugno 2014 n. 90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Art. 50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                     Ufficio per il processo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1. Al decreto-legge  18  ottobre  2012,  n.  179,  convertito,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modificazioni, dalla legge 17 dicembre  2012,  n.  221,  dopo  l'art.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16-septies e' inserito il seguente: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«Art. 16-octies  (Ufficio  per  il  processo).  -  1.  Al  fine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garantire   la   ragionevole   durata   del   processo,    attraverso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l'innovazione  dei  modelli  organizzativi  ed  assicurando  un  </w:t>
      </w:r>
      <w:proofErr w:type="spellStart"/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piu'</w:t>
      </w:r>
      <w:proofErr w:type="spellEnd"/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efficiente  impiego  delle  tecnologie  dell'informazione   e   della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comunicazione sono  costituite,  presso  le  corti  di  appello  e  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tribunali ordinari, strutture organizzative denominate  "ufficio  per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il processo", mediante l'impiego del personale di  cancelleria  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coloro che svolgono, presso i predetti uffici, il tirocinio formativo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a norma dell'art.  73  del  decreto-legge  21  giugno  2013,  n.  69,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convertito, con modificazioni, dalla legge 9 agosto 2013, n. 98, o 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formazione professionale </w:t>
      </w: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(( dei laureati ))</w:t>
      </w: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a  norma  dell'art.  37,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comma 5, del decreto-legge 6 luglio  2011,  n.  98,  convertito,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modificazioni, dalla legge 15 luglio 2011,  n.  111.  Fanno  </w:t>
      </w:r>
      <w:proofErr w:type="spellStart"/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altresi'</w:t>
      </w:r>
      <w:proofErr w:type="spellEnd"/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parte dell'ufficio per il processo  costituito  presso  le  corti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appello i giudici ausiliari di cui agli articoli 62  e  seguenti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decreto-legge 21 giugno 2013, n. 69, convertito,  con  modificazioni,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dalla legge 9 agosto 2013, n. 98,  e  dell'ufficio  per  il  processo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costituito presso i tribunali, i giudici onorari di tribunale di  cui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agli articoli 42 </w:t>
      </w:r>
      <w:proofErr w:type="spellStart"/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ter</w:t>
      </w:r>
      <w:proofErr w:type="spellEnd"/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e seguenti del regio decreto 30 gennaio 1941, n.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12.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2. Il Consiglio Superiore della Magistratura e  il  Ministro  della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giustizia, nell'ambito delle rispettive competenze, danno  attuazione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alle disposizioni di  cui  al  comma  1,  nell'ambito  delle  risorse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>disponibili e senza nuovi o maggiori oneri  a  carico  della  finanza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pubblica.».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</w:t>
      </w: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(( 1-bis. Con decreto del Ministro della giustizia, da adottare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concerto  con  il  Ministro  dell'economia  e  delle  finanze,   sono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determinati, nei  limiti  delle  risorse  finanziarie  disponibili  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legislazione   vigente,   il   numero   </w:t>
      </w:r>
      <w:proofErr w:type="spellStart"/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nonche'</w:t>
      </w:r>
      <w:proofErr w:type="spellEnd"/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 i    criteri    per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l'individuazione dei  soggetti  che  hanno  completato  il  tirocinio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formativo di cui all'art. 37, comma 11, del  decreto-legge  6  luglio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2011, n. 98, convertito, con modificazioni,  dalla  legge  15  luglio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2011, n. 111, e  successive  modificazioni,  che  possono  far  parte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dell'ufficio per il  processo,  tenuto  conto  delle  valutazioni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merito e delle esigenze organizzative degli uffici giudiziari. ))</w:t>
      </w: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 </w:t>
      </w: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(( 2.  All'art.  73  del  decreto-legge  21  giugno  2013,  n.  69,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convertito, con modificazioni, dalla legge 9 agosto 2013, n. 98, sono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apportate le seguenti modificazioni: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a) al comma 1: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1) dopo  le  parole:  «i  tribunali  ordinari,»  sono  inserite  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seguenti: «gli uffici requirenti di primo e secondo grado,»;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2) il secondo periodo e' soppresso;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b) dopo il comma 11 e' inserito il seguente: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«11-bis. L'esito positivo dello stage, come attestato a  norma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comma 11, costituisce titolo per l'accesso al concorso per magistrato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ordinario, a norma dell'art. 2 del decreto legislativo 5 aprile 2006,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n. 160,  e  successive  modificazioni.  Costituisce  </w:t>
      </w:r>
      <w:proofErr w:type="spellStart"/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altresi'</w:t>
      </w:r>
      <w:proofErr w:type="spellEnd"/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 xml:space="preserve">  titolo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idoneo  per  l'accesso  al  concorso  per  magistrato  ordinario   lo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svolgimento del tirocinio  professionale  per  diciotto  mesi  presso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l'Avvocatura dello Stato, sempre che sussistano i requisiti di merito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di  cui  al  comma  1  e  che  sia  attestato  l'esito  positivo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b/>
          <w:bCs/>
          <w:i/>
          <w:iCs/>
          <w:color w:val="444444"/>
          <w:sz w:val="18"/>
          <w:lang w:eastAsia="it-IT"/>
        </w:rPr>
        <w:t>tirocinio». ))</w:t>
      </w:r>
      <w:r w:rsidRPr="00F016E6">
        <w:rPr>
          <w:rFonts w:ascii="Courier New" w:eastAsia="Times New Roman" w:hAnsi="Courier New" w:cs="Courier New"/>
          <w:color w:val="444444"/>
          <w:sz w:val="18"/>
          <w:szCs w:val="18"/>
          <w:lang w:eastAsia="it-IT"/>
        </w:rPr>
        <w:t xml:space="preserve"> </w:t>
      </w:r>
    </w:p>
    <w:p w:rsidR="00F016E6" w:rsidRPr="00F016E6" w:rsidRDefault="00F016E6" w:rsidP="00F016E6">
      <w:pPr>
        <w:spacing w:line="281" w:lineRule="atLeast"/>
        <w:ind w:left="0"/>
        <w:jc w:val="center"/>
        <w:rPr>
          <w:rFonts w:eastAsia="Times New Roman"/>
          <w:color w:val="444444"/>
          <w:sz w:val="18"/>
          <w:szCs w:val="18"/>
          <w:lang w:eastAsia="it-IT"/>
        </w:rPr>
      </w:pPr>
      <w:r w:rsidRPr="00F016E6">
        <w:rPr>
          <w:rFonts w:eastAsia="Times New Roman"/>
          <w:color w:val="444444"/>
          <w:sz w:val="18"/>
          <w:szCs w:val="18"/>
          <w:lang w:eastAsia="it-IT"/>
        </w:rPr>
        <w:t> 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Riferimenti normativi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Si riporta il testo dell'art. 37, comma 11, del  citato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decreto-legge 6 luglio 2011, n. 98 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"11. Con  decreto  del  Presidente  del  Consiglio  dei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Ministri, di concerto con i Ministri dell'economia e  delle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finanze e della giustizia, e' stabilita la ripartizione  in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quote delle risorse confluite nel capitolo di cui al  comma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10,  primo  periodo,   per   essere   destinate,   in   via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prioritaria, all'assunzione di  personale  di  magistratura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ordinaria,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nonche'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,  per  il   solo   anno   2014,   nella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prospettiva  di  migliorare   l'efficienza   degli   uffici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giudiziari e per consentire a coloro che  hanno  completato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il tirocinio formativo presso gli uffici giudiziari a norma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dell'art. 1, comma 25, della legge  24  dicembre  2012,  n.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228, lo svolgimento di un  periodo  di  perfezionamento  da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completare entro il 31 dicembre 2014, nel limite  di  spesa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di 15 milioni di euro. La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titolarita'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del relativo progetto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formativo e' assegnata  al  Ministero  della  giustizia.  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decorrere dall'anno 2015, una quota pari a 7,5  milioni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euro del predetto importo e'  destinata  all'incentivazione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  personale  amministrativo  appartenente  agli   uffici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giudiziari che abbiano raggiunto gli obiettivi  di  cui  al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comma 12, anche in deroga alle disposizioni di cui all'art.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9, comma 2-bis, del decreto-legge 31 maggio  2010,  n.  78,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convertito, con modificazioni, dalla legge 30 luglio  2010,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n.  122,  e  alle  spese  di  funzionamento  degli   uffici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giudiziari. La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riassegnazione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prevista dal comma 10,  primo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periodo, e' effettuata al netto  delle  risorse  utilizzate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per   le   assunzioni   del   personale   di   magistratura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ordinaria.".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Si  riporta  il   testo   dell'art.   73   del   citato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decreto-legge 21 giugno 2013, n. 69, come modificato  dalla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presente legge: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"Art. 73. - Formazione presso gli uffici giudiziari.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1. I laureati in giurisprudenza all'esito di  un  corso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di durata almeno quadriennale, in possesso dei requisiti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onorabilita'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di cui all'art. 42-ter, secondo comma, lettera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g), del regio decreto 30 gennaio 1941, n. 12,  che  abbiano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riportato una media di almeno 27/30 negli esami di  diritto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costituzionale,  diritto   privato,   diritto   processuale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civile,  diritto  commerciale,  diritto   penale,   diritto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processuale  penale,   diritto   del   lavoro   e   diritto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amministrativo, ovvero un punteggio di laurea non inferiore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 105/110 e che non abbiano compiuto i trenta anni di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eta'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possono accedere, a domanda e per  una  sola  volta,  a  un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periodo di formazione teorico-pratica presso  le  Corti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appello, i tribunali ordinari,  gli  uffici  requirenti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primo  e  secondo  grado,  gli  uffici  e  i  tribunali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sorveglianza e i tribunali per  i  minorenni  della  durata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complessiva di diciotto mesi. I laureati,  con  i  medesimi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requisiti, possono accedere  a  un  periodo  di  formazione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teorico-pratica,  della  stessa  durata,  anche  presso  il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Consiglio di Stato, sia nelle sezioni  giurisdizionali  che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consultive, e  i  Tribunali  Amministrativi  Regionali.  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Regione Siciliana e le province autonome  di  Trento  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Bolzano, nell'ambito della propria autonomia  statutaria  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delle norme di attuazione, attuano l'istituto  dello  stage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formativo e disciplinano le sue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modalita'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di  svolgimento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presso il Consiglio  di  Giustizia  amministrativa  per  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Regione  Siciliana  e  presso  il  Tribunale  Regionale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Giustizia amministrativa di Trento e la sezione autonoma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Bolzano.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2. Quando  non  e'  possibile  avviare  al  periodo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formazione tutti gli aspiranti muniti dei requisiti di  cui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 comma 1 si riconosce preferenza, nell'ordine, alla media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degli esami indicati, al punteggio di laurea e alla  minore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eta'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anagrafica. 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parita'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dei requisiti previsti dal primo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periodo   si   attribuisce   preferenza   ai    corsi  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perfezionamento  in  materie  giuridiche  successivi   alla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laurea.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3. Per l'accesso allo stage i soggetti di cui al  comma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1 presentano domanda ai capi degli  uffici  giudiziari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allegata  documentazione  comprovante   il   possesso   dei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requisiti di cui al predetto comma,  anche  a  norma  degli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articoli  46  e  47  del  decreto  del   Presidente   della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Repubblica 28 dicembre 2000, n.  445.  Nella  domanda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puo'</w:t>
      </w:r>
      <w:proofErr w:type="spellEnd"/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essere espressa una preferenza ai  fini  dell'assegnazione,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di cui si  tiene  conto  compatibilmente  con  le  esigenze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dell'ufficio. Per il Consiglio di Stato,  il  Consiglio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Giustizia  amministrativa  per  la  Regione  Siciliana,  il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Tribunale Regionale di Giustizia amministrativa di Trento 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la sezione autonoma di Bolzano, i Tribunali  Amministrativi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Regionali la preferenza si esprime con riferimento ad una 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piu'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sezioni in cui sono trattate specifiche materie.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4. Gli ammessi allo stage sono affidati a un magistrato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che  ha  espresso  la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disponibilita'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ovvero,  quando   e'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necessario assicurare la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continuita'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della formazione, a un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magistrato designato dal  capo  dell'ufficio.  Gli  ammessi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assistono e coadiuvano il magistrato nel  compimento  delle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ordinarie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.  Il  magistrato  non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puo'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rendersi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affidatario di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piu'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di  due  ammessi.  Il  ministero  della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giustizia fornisce agli ammessi  allo  stage  le  dotazioni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strumentali, li pone in condizioni di accedere  ai  sistemi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informatici ministeriali  e  fornisce  loro  la  necessaria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assistenza tecnica. Per l'acquisto di dotazioni strumentali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informatiche per le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necessita'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di cui al quarto periodo  e'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autorizzata una spesa unitaria non superiore  a  400  euro.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Nel corso degli ultimi sei mesi del periodo  di  formazione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il magistrato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puo'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chiedere  l'assegnazione  di  un  nuovo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ammesso allo stage al  fine  di  garantire  la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continuita'</w:t>
      </w:r>
      <w:proofErr w:type="spellEnd"/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 di  assistenza  e  ausilio.  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magistrato  formatore  e'   considerata   ai   fini   della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valutazione di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professionalita'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di cui all'art.  11,  comma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2, del decreto legislativo 5 aprile 2006, n.  160,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nonche'</w:t>
      </w:r>
      <w:proofErr w:type="spellEnd"/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ai  fini  del  conferimento  di   incarichi   direttivi   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semidirettivi  di   merito.   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   di   magistrato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formatore espletata nell'ambito dei periodi  formativi  dei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laureati presso gli organi della  Giustizia  amministrativa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non si considera ai fini dei passaggi di qualifica  di  cui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 capo II del titolo II della legge  27  aprile  1982,  n.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186,  e  successive  modificazioni,   ne'   ai   fini 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conferimento delle  funzioni  di  cui  all'art.  6,  quinto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comma, della medesima legge. Al  magistrato  formatore  non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spetta alcun compenso aggiuntivo o rimborso  spese  per  lo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svolgimento dell'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' formativa.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5. 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 degli ammessi allo stage si svolge sotto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la guida e il controllo del magistrato e nel rispetto degli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obblighi di riservatezza e di  riserbo  riguardo  ai  dati,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alle informazioni  e  alle  notizie  acquisite  durante  il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periodo di formazione, con obbligo di mantenere il  segreto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su  quanto  appreso  in  ragione  della  loro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astenersi dalla deposizione testimoniale. Essi sono ammessi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ai  corsi  di  formazione  decentrata  organizzati  per   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magistrati  dell'ufficio  ed   ai   corsi   di   formazione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decentrata loro specificamente dedicati e  organizzati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cadenza  almeno  semestrale  secondo  programmi  che   sono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indicati per la formazione decentrata da parte della Scuola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superiore  della  magistratura.  I   laureati   ammessi   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partecipare al periodo di formazione teorico-pratica presso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il  Consiglio  di  Stato,   il   Consiglio   di   Giustizia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amministrativa  per  la  Regione  Siciliana,  i   Tribunali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Amministrativi  Regionali  e  il  Tribunale  Regionale 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Giustizia amministrativa di Trento e la sezione autonoma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Bolzano sono ammessi ai corsi di formazione organizzati dal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Consiglio di Presidenza della Giustizia Amministrativa.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5-bis. 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 di  formazione  degli  ammessi  allo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stage  e'  condotta  in  collaborazione  con   i   consigli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dell'Ordine   degli   avvocati   e   con   le   Scuole 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specializzazione per  le  professioni  legali,  secondo  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modalita'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individuate dal Capo  dell'Ufficio,  qualora  gli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stagisti  ammessi  risultino  anche  essere  iscritti  alla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pratica forense o ad una Scuola di specializzazione per  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professioni legali.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6. Gli ammessi allo stage hanno  accesso  ai  fascicoli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processuali, partecipano alle udienze del  processo,  anche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non pubbliche e dinanzi al collegio,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nonche'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alle camere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consiglio, salvo che il giudice ritenga di non  ammetterli;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non  possono  avere  accesso  ai  fascicoli   relativi   ai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procedimenti rispetto ai  quali  versano  in  conflitto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interessi per conto proprio o  di  terzi,  ivi  compresi  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fascicoli relativi ai procedimenti  trattati  dall'avvocato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presso il quale svolgono il tirocinio.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7.  Gli  ammessi  allo  stage  non  possono  esercitare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professionale innanzi l'ufficio ove lo stesso  si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svolge, ne' possono rappresentare o difendere, anche  nelle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fasi o nei gradi  successivi  della  causa,  le  parti  dei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procedimenti che  si  sono  svolti  dinanzi  al  magistrato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formatore  o  assumere  da   costoro   qualsiasi   incarico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professionale.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8. Lo svolgimento dello stage non da diritto  ad  alcun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compenso e non determina il sorgere di  alcun  rapporto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lavoro subordinato o autonomo ne' di obblighi previdenziali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e assicurativi.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8-bis. Agli ammessi allo stage e' attribuita, ai  sensi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 comma 8-ter, una borsa di studio determinata in  misura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non superiore ad euro 400 mensili e, comunque,  nei  limiti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della quota prevista dall'art. 2, comma 7, lettera b),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decreto-legge 16 settembre 2008, n.  143,  convertito,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modificazioni, dalla legge 13 novembre 2008, n. 181.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8-ter. Il Ministro della giustizia, di concerto con  il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Ministro dell'economia e  delle  finanze,  con  decreto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natura non regolamentare, determina annualmente l'ammontare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delle risorse destinate all'attuazione degli interventi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cui al comma 8-bis del presente articolo sulla  base  delle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risorse disponibili di cui all'art. 2, comma 7, lettera b),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 decreto-legge 16 settembre 2008,  n.  143,  convertito,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 modificazioni, dalla legge 13 novembre 2008, n. 181,  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requisiti per l'attribuzione della borsa di studio  di  cui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 comma 8-bis, sulla base dell'indicatore della situazione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economica equivalente (ISEE) calcolato per  le  prestazioni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erogate agli studenti nell'ambito del diritto  allo  studio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universitario,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nonche'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i  termini  e  le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modalita'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presentazione della dichiarazione sostitutiva unica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9. Lo stage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puo'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essere interrotto in ogni momento  dal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capo  dell'ufficio,  anche  su  proposta   del   magistrato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formatore, per sopravvenute ragioni organizzative o per  il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venir meno del rapporto fiduciario, anche in  relazione  ai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possibili  rischi  per  l'indipendenza  e   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imparzialita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dell'ufficio o la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credibilita'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della funzione  giudiziaria,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nonche'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per  l'immagine   e   il   prestigio   dell'ordine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giudiziario.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10. Lo stage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puo'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essere  svolto  contestualmente  ad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altre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,  compreso  il  dottorato  di  ricerca,  il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tirocinio per l'accesso alla professione di avvocato  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notaio  e  la  frequenza  dei   corsi   delle   scuole 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specializzazione per le  professioni  legali,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purche'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modalita'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compatibili con il conseguimento  di  un'adeguata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formazione. Il contestuale svolgimento  del  tirocinio  per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l'accesso   alla   professione   forense   non    impedisce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all'avvocato presso il quale  il  tirocinio  si  svolge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esercitare l'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attivita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' professionale innanzi al  magistrato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formatore.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11. Il magistrato formatore redige,  al  termine  dello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stage, una relazione sull'esito del periodo di formazione 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la trasmette al capo dell'ufficio.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11-bis. L'esito positivo dello stage, come attestato  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norma del comma 11, costituisce  titolo  per  l'accesso  al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concorso per magistrato ordinario, a norma dell'art. 2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decreto legislativo 5 aprile 2006,  n.  160,  e  successive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modificazioni. Costituisce,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altresi'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,  titolo  idoneo  per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l'accesso  al  concorso   per   magistrato   ordinario   lo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svolgimento del tirocinio professionale per  diciotto  mesi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presso l'Avvocatura dello Stato, sempre  che  sussistano  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requisiti di merito di cui al comma 1 e che  sia  attestato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l'esito positivo del tirocinio.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12. ".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13. Per l'accesso alla professione  di  avvocato  e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notaio l'esito positivo dello  stage  di  cui  al  presente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articolo e' valutato per il periodo di un anno ai fini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compimento del periodo di  tirocinio  professionale  ed  e'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valutato per il medesimo periodo ai  fini  della  frequenza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dei  corsi  della  scuola  di   specializzazione   per   le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professioni legali, fermo il  superamento  delle  verifiche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intermedie e delle prove finali d'esame di cui all'art.  16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 decreto legislativo 17 novembre 1997, n. 398.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14. L'esito positivo dello stage costituisce titolo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preferenza 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parita'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di merito, a  norma  dell'art.  5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decreto del Presidente della Repubblica 9 maggio  1994,  n.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487,  nei  concorsi  indetti   dall'amministrazione   della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giustizia,     dall'amministrazione     della     giustizia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amministrativa  e  dall'Avvocatura  dello  Stato.   Per   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concorsi  indetti  da  altre  amministrazioni  dello  Stato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l'esito positivo  del  periodo  di  formazione  costituisce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titolo di preferenza a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parita'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di titoli e di merito.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15. L'esito positivo dello stage costituisce titolo  di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preferenza per la nomina a giudice onorario di tribunale  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 vice procuratore onorario.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16. All'art. 5, della legge 21 novembre 1991,  n.  374,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dopo il comma 2, e' inserito il seguente comma: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«2-bis. La disposizione di cui al comma  2  si  applica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anche a coloro che hanno svolto con esito positivo lo stage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presso gli uffici giudiziari.».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17. Al fine di favorire l'accesso allo stage e' in ogni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caso  consentito  l'apporto  finanziario  di  terzi,  anche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mediante l'istituzione di apposite borse di  studio,  sulla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base di specifiche convenzioni stipulate con i  capi  degli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uffici, o loro delegati, nel  rispetto  delle  disposizioni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 presente articolo.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18. I capi degli uffici giudiziari di cui  al  presente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articolo quando stipulano le convenzioni previste dall'art.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37 del decreto-legge 6 luglio 2011, n. 98, convertito,  con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modificazioni, dalla legge 15 luglio 2011, n.  111,  devono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tenere conto  delle  domande  presentate  dai  soggetti  in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possesso dei requisiti di cui al comma 1.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19. L'esito positivo  dello  stage  presso  gli  uffici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della Giustizia amministrativa, come attestato a norma  del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comma 11, e' equiparato a tutti gli effetti a quello svolto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presso gli uffici della Giustizia ordinaria. 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    20. La domanda di  cui  al  comma  3  non  </w:t>
      </w:r>
      <w:proofErr w:type="spellStart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>puo'</w:t>
      </w:r>
      <w:proofErr w:type="spellEnd"/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essere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presentata prima del decorso del termine di  trenta  giorni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dalla data di entrata in vigore della legge di  conversione</w:t>
      </w:r>
    </w:p>
    <w:p w:rsidR="00F016E6" w:rsidRPr="00F016E6" w:rsidRDefault="00F016E6" w:rsidP="00F0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1" w:lineRule="atLeast"/>
        <w:ind w:left="0"/>
        <w:jc w:val="left"/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</w:pPr>
      <w:r w:rsidRPr="00F016E6">
        <w:rPr>
          <w:rFonts w:ascii="Courier New" w:eastAsia="Times New Roman" w:hAnsi="Courier New" w:cs="Courier New"/>
          <w:color w:val="990000"/>
          <w:sz w:val="18"/>
          <w:szCs w:val="18"/>
          <w:lang w:eastAsia="it-IT"/>
        </w:rPr>
        <w:t xml:space="preserve">          del presente decreto.". </w:t>
      </w:r>
    </w:p>
    <w:p w:rsidR="00B44EA9" w:rsidRDefault="00B44EA9"/>
    <w:sectPr w:rsidR="00B44EA9" w:rsidSect="000F43C4">
      <w:pgSz w:w="11906" w:h="16838"/>
      <w:pgMar w:top="2268" w:right="1701" w:bottom="18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016E6"/>
    <w:rsid w:val="000F43C4"/>
    <w:rsid w:val="009F7698"/>
    <w:rsid w:val="00B44EA9"/>
    <w:rsid w:val="00DA77DB"/>
    <w:rsid w:val="00F0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01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016E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3152</Words>
  <Characters>17969</Characters>
  <Application>Microsoft Office Word</Application>
  <DocSecurity>0</DocSecurity>
  <Lines>149</Lines>
  <Paragraphs>42</Paragraphs>
  <ScaleCrop>false</ScaleCrop>
  <Company>Ministero della Giustizia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Braccialini</dc:creator>
  <cp:lastModifiedBy>Braccialini</cp:lastModifiedBy>
  <cp:revision>1</cp:revision>
  <dcterms:created xsi:type="dcterms:W3CDTF">2015-05-16T17:28:00Z</dcterms:created>
  <dcterms:modified xsi:type="dcterms:W3CDTF">2015-05-16T17:34:00Z</dcterms:modified>
</cp:coreProperties>
</file>